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7829" w14:textId="42F7D235" w:rsidR="001555EE" w:rsidRPr="001555EE" w:rsidRDefault="00C54582" w:rsidP="001555EE">
      <w:pPr>
        <w:jc w:val="center"/>
        <w:rPr>
          <w:b/>
        </w:rPr>
      </w:pPr>
      <w:r w:rsidRPr="001555EE">
        <w:rPr>
          <w:b/>
        </w:rPr>
        <w:t xml:space="preserve"> </w:t>
      </w:r>
      <w:r w:rsidR="001555EE" w:rsidRPr="001555EE">
        <w:rPr>
          <w:b/>
        </w:rPr>
        <w:t>[SAMPLE LETTER TO YOUR SCHOOL DEANS, GRADUATE PROGRAMS DIRECTORS AND ADMINISTRATORS]</w:t>
      </w:r>
    </w:p>
    <w:p w14:paraId="1A102F7C" w14:textId="77777777" w:rsidR="00504AD9" w:rsidRDefault="00504AD9">
      <w:r>
        <w:t>Dear Graduate Program Director,</w:t>
      </w:r>
    </w:p>
    <w:p w14:paraId="79FA71A0" w14:textId="78250887" w:rsidR="004020AC" w:rsidRDefault="00A84B06">
      <w:r>
        <w:t>As we approach another graduate recruiting and admissions season, I write to remind you of our institution’s participation in the Council of Graduate Schools’</w:t>
      </w:r>
      <w:r w:rsidR="001555EE">
        <w:t xml:space="preserve"> (CGS)</w:t>
      </w:r>
      <w:r>
        <w:t xml:space="preserve"> “</w:t>
      </w:r>
      <w:r w:rsidRPr="00595514">
        <w:t>Resolution Regarding Graduate Scholars, Fellows, Trainees and Assistantships</w:t>
      </w:r>
      <w:r>
        <w:t>” also known as the “April 15 Resolution.”</w:t>
      </w:r>
      <w:r w:rsidR="00994A25">
        <w:t xml:space="preserve">  </w:t>
      </w:r>
      <w:r w:rsidR="00126CA8">
        <w:t>T</w:t>
      </w:r>
      <w:r w:rsidR="004020AC">
        <w:t xml:space="preserve">he deadline for acceptance of financial aid </w:t>
      </w:r>
      <w:r w:rsidR="00CF5F0B">
        <w:t>remains on that date</w:t>
      </w:r>
      <w:r w:rsidR="004020AC">
        <w:t xml:space="preserve">, at midnight </w:t>
      </w:r>
      <w:r w:rsidR="00D844A7">
        <w:t>April 15, 202</w:t>
      </w:r>
      <w:r w:rsidR="00856B8C">
        <w:t>5</w:t>
      </w:r>
      <w:r w:rsidR="00D844A7">
        <w:t xml:space="preserve"> (late </w:t>
      </w:r>
      <w:r w:rsidR="00856B8C">
        <w:t>Tuesday</w:t>
      </w:r>
      <w:r w:rsidR="00D844A7">
        <w:t xml:space="preserve"> evening</w:t>
      </w:r>
      <w:r w:rsidR="00DF0168">
        <w:t xml:space="preserve">/early </w:t>
      </w:r>
      <w:r w:rsidR="00856B8C">
        <w:t>Wednesday</w:t>
      </w:r>
      <w:r w:rsidR="00DF0168">
        <w:t xml:space="preserve"> morning</w:t>
      </w:r>
      <w:r w:rsidR="00D844A7">
        <w:t>)</w:t>
      </w:r>
      <w:r w:rsidR="00595514">
        <w:t>.</w:t>
      </w:r>
    </w:p>
    <w:p w14:paraId="17E5EF34" w14:textId="3545C474" w:rsidR="00504AD9" w:rsidRDefault="00994A25">
      <w:r>
        <w:t xml:space="preserve">Participation in the resolution obliges us to </w:t>
      </w:r>
      <w:r w:rsidRPr="00775A4A">
        <w:rPr>
          <w:b/>
        </w:rPr>
        <w:t xml:space="preserve">allow admitted graduate students to consider all offers of </w:t>
      </w:r>
      <w:r w:rsidR="00CF5F0B">
        <w:rPr>
          <w:b/>
        </w:rPr>
        <w:t xml:space="preserve">financial support </w:t>
      </w:r>
      <w:r w:rsidR="004019BF">
        <w:rPr>
          <w:b/>
        </w:rPr>
        <w:t>through</w:t>
      </w:r>
      <w:r w:rsidR="00CF5F0B">
        <w:rPr>
          <w:b/>
        </w:rPr>
        <w:t xml:space="preserve"> April 15</w:t>
      </w:r>
      <w:r>
        <w:t xml:space="preserve">. </w:t>
      </w:r>
      <w:r w:rsidR="00D844A7">
        <w:t xml:space="preserve"> </w:t>
      </w:r>
      <w:r w:rsidR="00775A4A">
        <w:t>Over 3</w:t>
      </w:r>
      <w:r w:rsidR="00840FEB">
        <w:t>13</w:t>
      </w:r>
      <w:r w:rsidR="00775A4A">
        <w:t xml:space="preserve"> U.S. institutions offering graduate degrees have agreed to abide by this resolution.  Your cooperation ensures that both </w:t>
      </w:r>
      <w:r w:rsidR="00856B8C">
        <w:t>students</w:t>
      </w:r>
      <w:r w:rsidR="00775A4A">
        <w:t xml:space="preserve"> and program</w:t>
      </w:r>
      <w:r w:rsidR="00840FEB">
        <w:t>s</w:t>
      </w:r>
      <w:r w:rsidR="00775A4A">
        <w:t xml:space="preserve"> </w:t>
      </w:r>
      <w:r w:rsidR="007456BD">
        <w:t xml:space="preserve">conduct their admissions in an ethical manner, and that they </w:t>
      </w:r>
      <w:r w:rsidR="00775A4A">
        <w:t>receive equal treatment and consideration in the financial support decision-making process.</w:t>
      </w:r>
    </w:p>
    <w:p w14:paraId="6B165CE7" w14:textId="77777777" w:rsidR="00504AD9" w:rsidRDefault="00504AD9">
      <w:r>
        <w:t>Here are some important aspects of the Resolution:</w:t>
      </w:r>
    </w:p>
    <w:p w14:paraId="53F700E7" w14:textId="34621AF6" w:rsidR="006B6843" w:rsidRDefault="00CF5F0B" w:rsidP="00504AD9">
      <w:pPr>
        <w:pStyle w:val="ListParagraph"/>
        <w:numPr>
          <w:ilvl w:val="0"/>
          <w:numId w:val="1"/>
        </w:numPr>
      </w:pPr>
      <w:r>
        <w:t>The April 15</w:t>
      </w:r>
      <w:r w:rsidR="004020AC">
        <w:t>, 20</w:t>
      </w:r>
      <w:r w:rsidR="00D844A7">
        <w:t>2</w:t>
      </w:r>
      <w:r w:rsidR="00856B8C">
        <w:t>5</w:t>
      </w:r>
      <w:r w:rsidR="004020AC">
        <w:t>,</w:t>
      </w:r>
      <w:r w:rsidR="00504AD9">
        <w:t xml:space="preserve"> deadline applies only to acceptance of an offer of financial support such as a graduate scholarship, fellowship, traineeship, or assistantship.</w:t>
      </w:r>
    </w:p>
    <w:p w14:paraId="45EA88D7" w14:textId="77777777" w:rsidR="00504AD9" w:rsidRDefault="00994A25" w:rsidP="00504AD9">
      <w:pPr>
        <w:pStyle w:val="ListParagraph"/>
        <w:numPr>
          <w:ilvl w:val="0"/>
          <w:numId w:val="1"/>
        </w:numPr>
      </w:pPr>
      <w:r>
        <w:t>It</w:t>
      </w:r>
      <w:r w:rsidR="00504AD9">
        <w:t xml:space="preserve"> applies only to offers of financial support for the following academic year.</w:t>
      </w:r>
    </w:p>
    <w:p w14:paraId="519081A9" w14:textId="01728485" w:rsidR="00504AD9" w:rsidRDefault="00C961FA" w:rsidP="00504AD9">
      <w:pPr>
        <w:pStyle w:val="ListParagraph"/>
        <w:numPr>
          <w:ilvl w:val="0"/>
          <w:numId w:val="1"/>
        </w:numPr>
      </w:pPr>
      <w:r>
        <w:t>Although you can send out your offers well before the deadline, p</w:t>
      </w:r>
      <w:r w:rsidR="00504AD9">
        <w:t>rospective graduate students are under no obligation to respond to offers of</w:t>
      </w:r>
      <w:r w:rsidR="00CF5F0B">
        <w:t xml:space="preserve"> financial aid prior to April 15</w:t>
      </w:r>
      <w:r w:rsidR="00504AD9">
        <w:t>.</w:t>
      </w:r>
    </w:p>
    <w:p w14:paraId="2FCB1D44" w14:textId="64D1D857" w:rsidR="00504AD9" w:rsidRPr="00CE2F44" w:rsidRDefault="00DF0168" w:rsidP="00504AD9">
      <w:pPr>
        <w:pStyle w:val="ListParagraph"/>
        <w:numPr>
          <w:ilvl w:val="0"/>
          <w:numId w:val="1"/>
        </w:num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D724D" wp14:editId="7B3ABB53">
                <wp:simplePos x="0" y="0"/>
                <wp:positionH relativeFrom="column">
                  <wp:posOffset>-295063</wp:posOffset>
                </wp:positionH>
                <wp:positionV relativeFrom="paragraph">
                  <wp:posOffset>94827</wp:posOffset>
                </wp:positionV>
                <wp:extent cx="0" cy="571500"/>
                <wp:effectExtent l="50800" t="25400" r="76200" b="889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262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7.45pt" to="-23.2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595514">
        <w:rPr>
          <w:noProof/>
        </w:rPr>
        <w:t>As of the</w:t>
      </w:r>
      <w:r w:rsidR="00C841F0">
        <w:rPr>
          <w:b/>
        </w:rPr>
        <w:t xml:space="preserve"> </w:t>
      </w:r>
      <w:r w:rsidR="00D844A7" w:rsidRPr="00CE2F44">
        <w:rPr>
          <w:b/>
        </w:rPr>
        <w:t xml:space="preserve">Fall 2020, </w:t>
      </w:r>
      <w:r w:rsidR="00C841F0" w:rsidRPr="00C841F0">
        <w:rPr>
          <w:b/>
          <w:bCs/>
        </w:rPr>
        <w:t>applicants are no longer required to obtain a formal release from the program whose offer they accepted, </w:t>
      </w:r>
      <w:r w:rsidR="00C841F0" w:rsidRPr="00C841F0">
        <w:rPr>
          <w:b/>
          <w:bCs/>
          <w:u w:val="single"/>
        </w:rPr>
        <w:t>either before or after the April 15 deadline</w:t>
      </w:r>
      <w:r w:rsidR="00C841F0" w:rsidRPr="00C841F0">
        <w:rPr>
          <w:b/>
          <w:bCs/>
        </w:rPr>
        <w:t>.</w:t>
      </w:r>
      <w:r w:rsidR="00C841F0" w:rsidRPr="00C841F0">
        <w:rPr>
          <w:b/>
        </w:rPr>
        <w:t> </w:t>
      </w:r>
      <w:r w:rsidR="00C841F0" w:rsidRPr="00C841F0">
        <w:rPr>
          <w:b/>
          <w:bCs/>
        </w:rPr>
        <w:t>Once they have informed the program that they are withdrawing their acceptance of the offer, they then can accept any other offers.</w:t>
      </w:r>
    </w:p>
    <w:p w14:paraId="1E2E909F" w14:textId="77777777" w:rsidR="00504AD9" w:rsidRDefault="00504AD9" w:rsidP="00504AD9">
      <w:pPr>
        <w:pStyle w:val="ListParagraph"/>
        <w:numPr>
          <w:ilvl w:val="0"/>
          <w:numId w:val="1"/>
        </w:numPr>
      </w:pPr>
      <w:r>
        <w:t xml:space="preserve">All offers of financial support should include a copy of or link to the </w:t>
      </w:r>
      <w:r w:rsidR="004020AC">
        <w:t>“</w:t>
      </w:r>
      <w:r>
        <w:t>April 15 Resolution</w:t>
      </w:r>
      <w:r w:rsidR="004020AC">
        <w:t>”</w:t>
      </w:r>
      <w:r>
        <w:t>:</w:t>
      </w:r>
    </w:p>
    <w:p w14:paraId="00CFDFDD" w14:textId="5A0810FB" w:rsidR="00840FEB" w:rsidRDefault="00840FEB" w:rsidP="00840FEB">
      <w:pPr>
        <w:pStyle w:val="ListParagraph"/>
        <w:ind w:left="765"/>
      </w:pPr>
      <w:hyperlink r:id="rId6" w:history="1">
        <w:r w:rsidRPr="005D076B">
          <w:rPr>
            <w:rStyle w:val="Hyperlink"/>
          </w:rPr>
          <w:t>https://cgsnet.org/wp-content/uploads/2025/03/CGS_April15_Resolution_Mar-1-2025.pdf</w:t>
        </w:r>
      </w:hyperlink>
      <w:r>
        <w:t xml:space="preserve"> </w:t>
      </w:r>
    </w:p>
    <w:p w14:paraId="6A4EE246" w14:textId="1CB56E3C" w:rsidR="00CC76B2" w:rsidRDefault="00CC76B2" w:rsidP="00CC76B2">
      <w:r>
        <w:t xml:space="preserve">In addition to direct information on the resolution, some explanatory language should be included in all financial support letters.  Below </w:t>
      </w:r>
      <w:r w:rsidR="00B709F4">
        <w:t>is an</w:t>
      </w:r>
      <w:r>
        <w:t xml:space="preserve"> example of wording that you are free to use</w:t>
      </w:r>
      <w:r w:rsidR="00B709F4">
        <w:t xml:space="preserve"> in your letter</w:t>
      </w:r>
      <w:r>
        <w:t>.</w:t>
      </w:r>
    </w:p>
    <w:p w14:paraId="6F4B7D8E" w14:textId="60CF423D" w:rsidR="00CC76B2" w:rsidRPr="00CC76B2" w:rsidRDefault="00DF0168" w:rsidP="00CC76B2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D4D0B" wp14:editId="37C55AF4">
                <wp:simplePos x="0" y="0"/>
                <wp:positionH relativeFrom="column">
                  <wp:posOffset>-291465</wp:posOffset>
                </wp:positionH>
                <wp:positionV relativeFrom="paragraph">
                  <wp:posOffset>52705</wp:posOffset>
                </wp:positionV>
                <wp:extent cx="3598" cy="1259840"/>
                <wp:effectExtent l="50800" t="25400" r="73025" b="863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8" cy="12598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0B907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95pt,4.15pt" to="-22.6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CC76B2" w:rsidRPr="00CC76B2">
        <w:rPr>
          <w:i/>
        </w:rPr>
        <w:t>Please inform us in writing of your decis</w:t>
      </w:r>
      <w:r w:rsidR="004020AC">
        <w:rPr>
          <w:i/>
        </w:rPr>
        <w:t>ion no later than Ap</w:t>
      </w:r>
      <w:r w:rsidR="00CF5F0B">
        <w:rPr>
          <w:i/>
        </w:rPr>
        <w:t>ril 15</w:t>
      </w:r>
      <w:r w:rsidR="004020AC">
        <w:rPr>
          <w:i/>
        </w:rPr>
        <w:t>, 2</w:t>
      </w:r>
      <w:r w:rsidR="00D844A7">
        <w:rPr>
          <w:i/>
        </w:rPr>
        <w:t>02</w:t>
      </w:r>
      <w:r w:rsidR="00856B8C">
        <w:rPr>
          <w:i/>
        </w:rPr>
        <w:t>5</w:t>
      </w:r>
      <w:r w:rsidR="00CC76B2" w:rsidRPr="00CC76B2">
        <w:rPr>
          <w:i/>
        </w:rPr>
        <w:t xml:space="preserve">. In accordance with the </w:t>
      </w:r>
      <w:hyperlink r:id="rId7" w:history="1">
        <w:r w:rsidR="00CC76B2" w:rsidRPr="00595514">
          <w:rPr>
            <w:rStyle w:val="Hyperlink"/>
          </w:rPr>
          <w:t>Council of Graduate Schools’ (CGS) resolution</w:t>
        </w:r>
        <w:r w:rsidR="00CC76B2" w:rsidRPr="00595514">
          <w:rPr>
            <w:rStyle w:val="Hyperlink"/>
            <w:i/>
          </w:rPr>
          <w:t>,</w:t>
        </w:r>
      </w:hyperlink>
      <w:r w:rsidR="00CC76B2" w:rsidRPr="00CC76B2">
        <w:rPr>
          <w:i/>
        </w:rPr>
        <w:t xml:space="preserve"> </w:t>
      </w:r>
      <w:r w:rsidR="004A51DE">
        <w:rPr>
          <w:i/>
        </w:rPr>
        <w:t>we will honor</w:t>
      </w:r>
      <w:r w:rsidR="004A51DE" w:rsidRPr="00CC76B2">
        <w:rPr>
          <w:i/>
        </w:rPr>
        <w:t xml:space="preserve"> </w:t>
      </w:r>
      <w:r w:rsidR="004A51DE">
        <w:rPr>
          <w:i/>
        </w:rPr>
        <w:t>this offer until the April 15</w:t>
      </w:r>
      <w:r w:rsidR="004A51DE" w:rsidRPr="00CC76B2">
        <w:rPr>
          <w:i/>
        </w:rPr>
        <w:t xml:space="preserve"> deadline, after w</w:t>
      </w:r>
      <w:r w:rsidR="004A51DE">
        <w:rPr>
          <w:i/>
        </w:rPr>
        <w:t>hich point it will be rescinded unless you are informed in writing that the deadline for a decision has been extended.  Although you are under no obligation to accept this offer prior to April 15, please let us know as soon as you have made a decision so that we may extend offers to other prospective students if possible.  Y</w:t>
      </w:r>
      <w:r w:rsidR="00CC76B2" w:rsidRPr="00CC76B2">
        <w:rPr>
          <w:i/>
        </w:rPr>
        <w:t>ou may consider other offers of financial support</w:t>
      </w:r>
      <w:r w:rsidR="004A51DE">
        <w:rPr>
          <w:i/>
        </w:rPr>
        <w:t>; if you choose to accept another offer of financial support, you must first resign from your acceptance of our offer, either before or after April 15.</w:t>
      </w:r>
    </w:p>
    <w:p w14:paraId="27EC7AF2" w14:textId="5B44C035" w:rsidR="00CC76B2" w:rsidRDefault="00994A25" w:rsidP="00CC76B2">
      <w:r>
        <w:t>Feel free to contact my office if you have any questions or concerns about the April 15 Resolution.</w:t>
      </w:r>
    </w:p>
    <w:sectPr w:rsidR="00CC7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C2F8B"/>
    <w:multiLevelType w:val="hybridMultilevel"/>
    <w:tmpl w:val="646AD3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6134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21"/>
    <w:rsid w:val="00001C7F"/>
    <w:rsid w:val="00003389"/>
    <w:rsid w:val="00012B4B"/>
    <w:rsid w:val="00012E06"/>
    <w:rsid w:val="000365E5"/>
    <w:rsid w:val="00055DD8"/>
    <w:rsid w:val="000601D6"/>
    <w:rsid w:val="000A09B3"/>
    <w:rsid w:val="000A1D6D"/>
    <w:rsid w:val="000B7AB1"/>
    <w:rsid w:val="000C2E9B"/>
    <w:rsid w:val="000E0023"/>
    <w:rsid w:val="00101397"/>
    <w:rsid w:val="00101E0C"/>
    <w:rsid w:val="001048CE"/>
    <w:rsid w:val="00107FBE"/>
    <w:rsid w:val="00121096"/>
    <w:rsid w:val="00126CA8"/>
    <w:rsid w:val="001520DD"/>
    <w:rsid w:val="001529E9"/>
    <w:rsid w:val="001555EE"/>
    <w:rsid w:val="001655C6"/>
    <w:rsid w:val="00173A90"/>
    <w:rsid w:val="001822AA"/>
    <w:rsid w:val="00184961"/>
    <w:rsid w:val="001A0D27"/>
    <w:rsid w:val="001B171D"/>
    <w:rsid w:val="001B4A51"/>
    <w:rsid w:val="001C3F23"/>
    <w:rsid w:val="001C662D"/>
    <w:rsid w:val="001E7A04"/>
    <w:rsid w:val="001F5527"/>
    <w:rsid w:val="00205699"/>
    <w:rsid w:val="00210C79"/>
    <w:rsid w:val="00251E19"/>
    <w:rsid w:val="00257F9A"/>
    <w:rsid w:val="00271F3D"/>
    <w:rsid w:val="00276553"/>
    <w:rsid w:val="00280C34"/>
    <w:rsid w:val="0028432C"/>
    <w:rsid w:val="00287740"/>
    <w:rsid w:val="002B2D56"/>
    <w:rsid w:val="002B7C34"/>
    <w:rsid w:val="002D5223"/>
    <w:rsid w:val="002E18FF"/>
    <w:rsid w:val="00303629"/>
    <w:rsid w:val="00307A7F"/>
    <w:rsid w:val="00333377"/>
    <w:rsid w:val="00341865"/>
    <w:rsid w:val="003A7AEB"/>
    <w:rsid w:val="003F21B2"/>
    <w:rsid w:val="004019BF"/>
    <w:rsid w:val="004020AC"/>
    <w:rsid w:val="004055CC"/>
    <w:rsid w:val="00427DC5"/>
    <w:rsid w:val="004337FF"/>
    <w:rsid w:val="00436618"/>
    <w:rsid w:val="00481558"/>
    <w:rsid w:val="004A30C1"/>
    <w:rsid w:val="004A51DE"/>
    <w:rsid w:val="004B60F8"/>
    <w:rsid w:val="004C5B79"/>
    <w:rsid w:val="004C7CC6"/>
    <w:rsid w:val="004D467A"/>
    <w:rsid w:val="005034DA"/>
    <w:rsid w:val="00504AD9"/>
    <w:rsid w:val="0050786D"/>
    <w:rsid w:val="00510A15"/>
    <w:rsid w:val="00531705"/>
    <w:rsid w:val="00550421"/>
    <w:rsid w:val="005510CC"/>
    <w:rsid w:val="00551213"/>
    <w:rsid w:val="0056152C"/>
    <w:rsid w:val="005711FF"/>
    <w:rsid w:val="00595514"/>
    <w:rsid w:val="005A0DAC"/>
    <w:rsid w:val="005A134A"/>
    <w:rsid w:val="005B0FAA"/>
    <w:rsid w:val="005B12C7"/>
    <w:rsid w:val="005D772D"/>
    <w:rsid w:val="005F5055"/>
    <w:rsid w:val="005F6456"/>
    <w:rsid w:val="00602CCB"/>
    <w:rsid w:val="00605A9C"/>
    <w:rsid w:val="00615244"/>
    <w:rsid w:val="006242C6"/>
    <w:rsid w:val="00626026"/>
    <w:rsid w:val="00686350"/>
    <w:rsid w:val="006A2F7C"/>
    <w:rsid w:val="006A4452"/>
    <w:rsid w:val="006A506A"/>
    <w:rsid w:val="006B6843"/>
    <w:rsid w:val="006C619C"/>
    <w:rsid w:val="006D24BE"/>
    <w:rsid w:val="006E3EA1"/>
    <w:rsid w:val="00703506"/>
    <w:rsid w:val="00704CD9"/>
    <w:rsid w:val="00734897"/>
    <w:rsid w:val="007456BD"/>
    <w:rsid w:val="0076232F"/>
    <w:rsid w:val="00767C9F"/>
    <w:rsid w:val="00775A4A"/>
    <w:rsid w:val="00790AAC"/>
    <w:rsid w:val="007917C4"/>
    <w:rsid w:val="00791E51"/>
    <w:rsid w:val="007A050B"/>
    <w:rsid w:val="007A3C28"/>
    <w:rsid w:val="007E65ED"/>
    <w:rsid w:val="007F2F29"/>
    <w:rsid w:val="007F6C00"/>
    <w:rsid w:val="00806756"/>
    <w:rsid w:val="00812070"/>
    <w:rsid w:val="008223B6"/>
    <w:rsid w:val="00830FB6"/>
    <w:rsid w:val="00840FEB"/>
    <w:rsid w:val="00844677"/>
    <w:rsid w:val="00856B8C"/>
    <w:rsid w:val="00864A48"/>
    <w:rsid w:val="00890211"/>
    <w:rsid w:val="008B0387"/>
    <w:rsid w:val="008F02F5"/>
    <w:rsid w:val="008F1184"/>
    <w:rsid w:val="009113BD"/>
    <w:rsid w:val="00961F04"/>
    <w:rsid w:val="00973EFD"/>
    <w:rsid w:val="00985CBB"/>
    <w:rsid w:val="00992E14"/>
    <w:rsid w:val="00994A25"/>
    <w:rsid w:val="009D3AE2"/>
    <w:rsid w:val="00A4155B"/>
    <w:rsid w:val="00A4247C"/>
    <w:rsid w:val="00A42590"/>
    <w:rsid w:val="00A61639"/>
    <w:rsid w:val="00A84B06"/>
    <w:rsid w:val="00A9210A"/>
    <w:rsid w:val="00AD3A04"/>
    <w:rsid w:val="00AE0B4A"/>
    <w:rsid w:val="00B12C5A"/>
    <w:rsid w:val="00B13FB8"/>
    <w:rsid w:val="00B14D40"/>
    <w:rsid w:val="00B15907"/>
    <w:rsid w:val="00B45E58"/>
    <w:rsid w:val="00B709F4"/>
    <w:rsid w:val="00B7443B"/>
    <w:rsid w:val="00B874A4"/>
    <w:rsid w:val="00BA656A"/>
    <w:rsid w:val="00BE65F4"/>
    <w:rsid w:val="00BF7FC1"/>
    <w:rsid w:val="00C016CF"/>
    <w:rsid w:val="00C40A21"/>
    <w:rsid w:val="00C45D8A"/>
    <w:rsid w:val="00C54582"/>
    <w:rsid w:val="00C6280A"/>
    <w:rsid w:val="00C841F0"/>
    <w:rsid w:val="00C86B91"/>
    <w:rsid w:val="00C961FA"/>
    <w:rsid w:val="00CB130F"/>
    <w:rsid w:val="00CC453A"/>
    <w:rsid w:val="00CC76B2"/>
    <w:rsid w:val="00CD15CA"/>
    <w:rsid w:val="00CE2F44"/>
    <w:rsid w:val="00CF0EC4"/>
    <w:rsid w:val="00CF5F0B"/>
    <w:rsid w:val="00CF6A2F"/>
    <w:rsid w:val="00D12E5D"/>
    <w:rsid w:val="00D14361"/>
    <w:rsid w:val="00D347F9"/>
    <w:rsid w:val="00D65DBB"/>
    <w:rsid w:val="00D7045E"/>
    <w:rsid w:val="00D844A7"/>
    <w:rsid w:val="00DD4193"/>
    <w:rsid w:val="00DF0168"/>
    <w:rsid w:val="00E062E0"/>
    <w:rsid w:val="00E10276"/>
    <w:rsid w:val="00E17319"/>
    <w:rsid w:val="00E25DF2"/>
    <w:rsid w:val="00E458B2"/>
    <w:rsid w:val="00E45E3B"/>
    <w:rsid w:val="00E63BAB"/>
    <w:rsid w:val="00E640CF"/>
    <w:rsid w:val="00E64932"/>
    <w:rsid w:val="00E97CC2"/>
    <w:rsid w:val="00EA330A"/>
    <w:rsid w:val="00EF3817"/>
    <w:rsid w:val="00F018B9"/>
    <w:rsid w:val="00F200AD"/>
    <w:rsid w:val="00F420EE"/>
    <w:rsid w:val="00F560C5"/>
    <w:rsid w:val="00F77145"/>
    <w:rsid w:val="00F860A0"/>
    <w:rsid w:val="00F90329"/>
    <w:rsid w:val="00F91789"/>
    <w:rsid w:val="00FC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77DF"/>
  <w15:docId w15:val="{B8AB9D67-064C-440D-91B6-6F9AB792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A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20A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02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0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A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8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80C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gsnet.org/wp-content/uploads/2025/03/CGS_April15_Resolution_Mar-1-20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gsnet.org/wp-content/uploads/2025/03/CGS_April15_Resolution_Mar-1-202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A8210-3FFB-434C-AF1F-5504A1F0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Naranjo, Anna M.</cp:lastModifiedBy>
  <cp:revision>2</cp:revision>
  <cp:lastPrinted>2017-10-17T18:20:00Z</cp:lastPrinted>
  <dcterms:created xsi:type="dcterms:W3CDTF">2025-03-07T02:22:00Z</dcterms:created>
  <dcterms:modified xsi:type="dcterms:W3CDTF">2025-03-07T02:22:00Z</dcterms:modified>
</cp:coreProperties>
</file>